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39B04" w14:textId="58C8AE27" w:rsidR="00FB6000" w:rsidRPr="009A26EF" w:rsidRDefault="002E6B1B" w:rsidP="009A26EF">
      <w:pPr>
        <w:pStyle w:val="Titre1"/>
        <w:ind w:left="-709"/>
        <w:rPr>
          <w:b/>
          <w:bCs/>
          <w:sz w:val="36"/>
          <w:szCs w:val="36"/>
        </w:rPr>
      </w:pPr>
      <w:r w:rsidRPr="009A26EF">
        <w:rPr>
          <w:b/>
          <w:bCs/>
          <w:sz w:val="36"/>
          <w:szCs w:val="36"/>
        </w:rPr>
        <w:t xml:space="preserve">Note </w:t>
      </w:r>
      <w:r w:rsidR="00FA2C3F" w:rsidRPr="009A26EF">
        <w:rPr>
          <w:b/>
          <w:bCs/>
          <w:sz w:val="36"/>
          <w:szCs w:val="36"/>
        </w:rPr>
        <w:t>à l’attention des biologistes participants à l’étude pilote SCORE2</w:t>
      </w:r>
      <w:r w:rsidRPr="009A26EF">
        <w:rPr>
          <w:b/>
          <w:bCs/>
          <w:sz w:val="36"/>
          <w:szCs w:val="36"/>
        </w:rPr>
        <w:t xml:space="preserve"> </w:t>
      </w:r>
    </w:p>
    <w:p w14:paraId="756AAEF9" w14:textId="77777777" w:rsidR="002E6B1B" w:rsidRDefault="002E6B1B"/>
    <w:p w14:paraId="4968E4CC" w14:textId="1F8106D2" w:rsidR="00FA2C3F" w:rsidRPr="003F432D" w:rsidRDefault="008C32C1" w:rsidP="00FA2C3F">
      <w:pPr>
        <w:pStyle w:val="Titre1"/>
        <w:rPr>
          <w:b/>
          <w:bCs/>
        </w:rPr>
      </w:pPr>
      <w:r w:rsidRPr="003F432D">
        <w:rPr>
          <w:b/>
          <w:bCs/>
        </w:rPr>
        <w:t>Paramétrage</w:t>
      </w:r>
      <w:r w:rsidR="00FA2C3F" w:rsidRPr="003F432D">
        <w:rPr>
          <w:b/>
          <w:bCs/>
        </w:rPr>
        <w:t xml:space="preserve"> du bilan lipidique spécifique dans le SGL</w:t>
      </w:r>
    </w:p>
    <w:p w14:paraId="694CFBE8" w14:textId="77777777" w:rsidR="00FA2C3F" w:rsidRDefault="00FA2C3F"/>
    <w:p w14:paraId="363019A0" w14:textId="727D6A6C" w:rsidR="002E6B1B" w:rsidRDefault="002E6B1B" w:rsidP="00FA2C3F">
      <w:pPr>
        <w:pStyle w:val="Titre2"/>
      </w:pPr>
      <w:r>
        <w:t>Les éléments habituels du bilan :</w:t>
      </w:r>
    </w:p>
    <w:p w14:paraId="57E5500B" w14:textId="3D0F135A" w:rsidR="002E6B1B" w:rsidRDefault="002E6B1B" w:rsidP="00FA2C3F">
      <w:pPr>
        <w:pStyle w:val="Paragraphedeliste"/>
        <w:numPr>
          <w:ilvl w:val="0"/>
          <w:numId w:val="1"/>
        </w:numPr>
      </w:pPr>
      <w:r>
        <w:t>Aspect à jeun</w:t>
      </w:r>
    </w:p>
    <w:p w14:paraId="1A53ADF4" w14:textId="7BA6FD26" w:rsidR="002E6B1B" w:rsidRDefault="00FA2C3F" w:rsidP="00FA2C3F">
      <w:pPr>
        <w:pStyle w:val="Paragraphedeliste"/>
        <w:numPr>
          <w:ilvl w:val="0"/>
          <w:numId w:val="1"/>
        </w:numPr>
      </w:pPr>
      <w:r>
        <w:t>Cholestérol</w:t>
      </w:r>
      <w:r w:rsidR="002E6B1B">
        <w:t xml:space="preserve"> total</w:t>
      </w:r>
    </w:p>
    <w:p w14:paraId="079EBF8C" w14:textId="58BF1255" w:rsidR="002E6B1B" w:rsidRDefault="00FA2C3F" w:rsidP="00FA2C3F">
      <w:pPr>
        <w:pStyle w:val="Paragraphedeliste"/>
        <w:numPr>
          <w:ilvl w:val="0"/>
          <w:numId w:val="1"/>
        </w:numPr>
      </w:pPr>
      <w:r>
        <w:t>Cholestérol</w:t>
      </w:r>
      <w:r w:rsidR="002E6B1B">
        <w:t xml:space="preserve"> HDL</w:t>
      </w:r>
    </w:p>
    <w:p w14:paraId="5E1CFBC7" w14:textId="6DE70EEA" w:rsidR="002E6B1B" w:rsidRDefault="00FA2C3F" w:rsidP="00FA2C3F">
      <w:pPr>
        <w:pStyle w:val="Paragraphedeliste"/>
        <w:numPr>
          <w:ilvl w:val="0"/>
          <w:numId w:val="1"/>
        </w:numPr>
      </w:pPr>
      <w:r>
        <w:t>Cholestérol</w:t>
      </w:r>
      <w:r w:rsidR="002E6B1B">
        <w:t xml:space="preserve"> LDL</w:t>
      </w:r>
    </w:p>
    <w:p w14:paraId="022A4F62" w14:textId="7445EBA4" w:rsidR="002E6B1B" w:rsidRDefault="002E6B1B" w:rsidP="00FA2C3F">
      <w:pPr>
        <w:pStyle w:val="Titre2"/>
      </w:pPr>
      <w:r>
        <w:t>Les éléments à rajouter</w:t>
      </w:r>
      <w:r w:rsidR="00A83FA6">
        <w:t xml:space="preserve"> (éléments éditables sur le compte-rendu)</w:t>
      </w:r>
    </w:p>
    <w:p w14:paraId="7CA821E5" w14:textId="13E50ED9" w:rsidR="002E6B1B" w:rsidRDefault="002E6B1B" w:rsidP="00FA2C3F">
      <w:pPr>
        <w:pStyle w:val="Paragraphedeliste"/>
        <w:numPr>
          <w:ilvl w:val="0"/>
          <w:numId w:val="2"/>
        </w:numPr>
      </w:pPr>
      <w:r w:rsidRPr="002A19A1">
        <w:rPr>
          <w:b/>
          <w:bCs/>
        </w:rPr>
        <w:t>Statut tabagique</w:t>
      </w:r>
      <w:r w:rsidR="00FA2C3F" w:rsidRPr="002A19A1">
        <w:t xml:space="preserve"> : </w:t>
      </w:r>
      <w:r w:rsidRPr="002A19A1">
        <w:t>saisie manuelle avec 2 possibilités de textes codés : OUI/NON</w:t>
      </w:r>
    </w:p>
    <w:p w14:paraId="73D861F7" w14:textId="3238E5DA" w:rsidR="002A19A1" w:rsidRPr="002A19A1" w:rsidRDefault="002A19A1" w:rsidP="00FA2C3F">
      <w:pPr>
        <w:pStyle w:val="Paragraphedeliste"/>
        <w:numPr>
          <w:ilvl w:val="0"/>
          <w:numId w:val="2"/>
        </w:numPr>
      </w:pPr>
      <w:r>
        <w:rPr>
          <w:b/>
          <w:bCs/>
        </w:rPr>
        <w:t>Pression artérielle systolique</w:t>
      </w:r>
      <w:r w:rsidR="00B55C85">
        <w:rPr>
          <w:b/>
          <w:bCs/>
        </w:rPr>
        <w:t xml:space="preserve"> </w:t>
      </w:r>
      <w:r>
        <w:t>(unité mm Hg, saisie manuelle, sans décimale). Dans la zone de paramétrage réservé</w:t>
      </w:r>
      <w:r w:rsidR="00C7324E">
        <w:t>e</w:t>
      </w:r>
      <w:r>
        <w:t xml:space="preserve"> à la technique, insérer le libellé suivant </w:t>
      </w:r>
      <w:r w:rsidRPr="00D037D5">
        <w:rPr>
          <w:i/>
          <w:iCs/>
        </w:rPr>
        <w:t>:</w:t>
      </w:r>
      <w:r>
        <w:rPr>
          <w:i/>
          <w:iCs/>
        </w:rPr>
        <w:t xml:space="preserve"> </w:t>
      </w:r>
      <w:r w:rsidRPr="004E5DE4">
        <w:rPr>
          <w:i/>
          <w:iCs/>
          <w:highlight w:val="yellow"/>
        </w:rPr>
        <w:t>Mesurée au laboratoire par tensiomètre électronique huméral à brassard en position assise après quelques minutes de repos</w:t>
      </w:r>
    </w:p>
    <w:p w14:paraId="32ACC23F" w14:textId="0837921B" w:rsidR="002E6B1B" w:rsidRDefault="002E6B1B" w:rsidP="00FA2C3F">
      <w:pPr>
        <w:pStyle w:val="Paragraphedeliste"/>
        <w:numPr>
          <w:ilvl w:val="0"/>
          <w:numId w:val="2"/>
        </w:numPr>
      </w:pPr>
      <w:r w:rsidRPr="00FA2C3F">
        <w:rPr>
          <w:b/>
          <w:bCs/>
        </w:rPr>
        <w:t>Evaluation du risque cardiovasculaire SCORE2</w:t>
      </w:r>
      <w:r>
        <w:t> : unité %</w:t>
      </w:r>
    </w:p>
    <w:p w14:paraId="78955BEF" w14:textId="77777777" w:rsidR="00FA2C3F" w:rsidRDefault="00FA2C3F" w:rsidP="00FA2C3F">
      <w:pPr>
        <w:pStyle w:val="Paragraphedeliste"/>
      </w:pPr>
    </w:p>
    <w:p w14:paraId="2EFEF95D" w14:textId="7D17AFB5" w:rsidR="005E5387" w:rsidRDefault="005E5387" w:rsidP="005E5387">
      <w:pPr>
        <w:pStyle w:val="Titre2"/>
      </w:pPr>
      <w:r>
        <w:t>Le tableau de risque</w:t>
      </w:r>
    </w:p>
    <w:p w14:paraId="16CDA771" w14:textId="77777777" w:rsidR="005E5387" w:rsidRDefault="005E5387" w:rsidP="00FA2C3F"/>
    <w:tbl>
      <w:tblPr>
        <w:tblW w:w="0" w:type="auto"/>
        <w:jc w:val="center"/>
        <w:tblCellMar>
          <w:left w:w="0" w:type="dxa"/>
          <w:right w:w="0" w:type="dxa"/>
        </w:tblCellMar>
        <w:tblLook w:val="0420" w:firstRow="1" w:lastRow="0" w:firstColumn="0" w:lastColumn="0" w:noHBand="0" w:noVBand="1"/>
      </w:tblPr>
      <w:tblGrid>
        <w:gridCol w:w="1865"/>
        <w:gridCol w:w="2094"/>
        <w:gridCol w:w="1985"/>
      </w:tblGrid>
      <w:tr w:rsidR="00771545" w:rsidRPr="00F4771B" w14:paraId="7E4D0352" w14:textId="77777777" w:rsidTr="00771545">
        <w:trPr>
          <w:cantSplit/>
          <w:jc w:val="center"/>
        </w:trPr>
        <w:tc>
          <w:tcPr>
            <w:tcW w:w="0" w:type="auto"/>
            <w:tcBorders>
              <w:top w:val="single" w:sz="8" w:space="0" w:color="FFFFFF"/>
              <w:left w:val="single" w:sz="8" w:space="0" w:color="FFFFFF"/>
              <w:bottom w:val="single" w:sz="24" w:space="0" w:color="FFFFFF"/>
              <w:right w:val="single" w:sz="8" w:space="0" w:color="FFFFFF"/>
            </w:tcBorders>
            <w:shd w:val="clear" w:color="auto" w:fill="6053B4"/>
            <w:tcMar>
              <w:top w:w="72" w:type="dxa"/>
              <w:left w:w="144" w:type="dxa"/>
              <w:bottom w:w="72" w:type="dxa"/>
              <w:right w:w="144" w:type="dxa"/>
            </w:tcMar>
            <w:vAlign w:val="center"/>
            <w:hideMark/>
          </w:tcPr>
          <w:p w14:paraId="662CFC64" w14:textId="77777777" w:rsidR="00771545" w:rsidRPr="00F4771B" w:rsidRDefault="00771545" w:rsidP="009C01F7">
            <w:pPr>
              <w:tabs>
                <w:tab w:val="left" w:pos="3045"/>
              </w:tabs>
              <w:jc w:val="both"/>
              <w:rPr>
                <w:rFonts w:ascii="Aptos Display" w:hAnsi="Aptos Display"/>
                <w:b/>
                <w:bCs/>
                <w:color w:val="7030A0"/>
              </w:rPr>
            </w:pPr>
            <w:r w:rsidRPr="00F4771B">
              <w:rPr>
                <w:rFonts w:ascii="Aptos Display" w:hAnsi="Aptos Display"/>
                <w:b/>
                <w:bCs/>
                <w:color w:val="FFFFFF" w:themeColor="background1"/>
              </w:rPr>
              <w:t>SCORE2</w:t>
            </w:r>
          </w:p>
        </w:tc>
        <w:tc>
          <w:tcPr>
            <w:tcW w:w="2094" w:type="dxa"/>
            <w:tcBorders>
              <w:top w:val="single" w:sz="8" w:space="0" w:color="FFFFFF"/>
              <w:left w:val="single" w:sz="8" w:space="0" w:color="FFFFFF"/>
              <w:bottom w:val="single" w:sz="24" w:space="0" w:color="FFFFFF"/>
              <w:right w:val="single" w:sz="8" w:space="0" w:color="FFFFFF"/>
            </w:tcBorders>
            <w:shd w:val="clear" w:color="auto" w:fill="6053B4"/>
            <w:tcMar>
              <w:top w:w="72" w:type="dxa"/>
              <w:left w:w="144" w:type="dxa"/>
              <w:bottom w:w="72" w:type="dxa"/>
              <w:right w:w="144" w:type="dxa"/>
            </w:tcMar>
            <w:vAlign w:val="center"/>
            <w:hideMark/>
          </w:tcPr>
          <w:p w14:paraId="66DB69E2" w14:textId="77777777" w:rsidR="00771545" w:rsidRPr="00F4771B" w:rsidRDefault="00771545" w:rsidP="009C01F7">
            <w:pPr>
              <w:tabs>
                <w:tab w:val="left" w:pos="3045"/>
              </w:tabs>
              <w:jc w:val="center"/>
              <w:rPr>
                <w:rFonts w:ascii="Aptos Display" w:hAnsi="Aptos Display"/>
                <w:b/>
                <w:bCs/>
                <w:color w:val="FFFFFF" w:themeColor="background1"/>
                <w:sz w:val="20"/>
                <w:szCs w:val="20"/>
              </w:rPr>
            </w:pPr>
            <w:r w:rsidRPr="00F4771B">
              <w:rPr>
                <w:rFonts w:ascii="Aptos Display" w:hAnsi="Aptos Display"/>
                <w:b/>
                <w:bCs/>
                <w:color w:val="FFFFFF" w:themeColor="background1"/>
                <w:sz w:val="20"/>
                <w:szCs w:val="20"/>
              </w:rPr>
              <w:t>Moins de 50 ans</w:t>
            </w:r>
          </w:p>
        </w:tc>
        <w:tc>
          <w:tcPr>
            <w:tcW w:w="1985" w:type="dxa"/>
            <w:tcBorders>
              <w:top w:val="single" w:sz="8" w:space="0" w:color="FFFFFF"/>
              <w:left w:val="single" w:sz="8" w:space="0" w:color="FFFFFF"/>
              <w:bottom w:val="single" w:sz="24" w:space="0" w:color="FFFFFF"/>
              <w:right w:val="single" w:sz="8" w:space="0" w:color="FFFFFF"/>
            </w:tcBorders>
            <w:shd w:val="clear" w:color="auto" w:fill="6053B4"/>
            <w:tcMar>
              <w:top w:w="72" w:type="dxa"/>
              <w:left w:w="144" w:type="dxa"/>
              <w:bottom w:w="72" w:type="dxa"/>
              <w:right w:w="144" w:type="dxa"/>
            </w:tcMar>
            <w:vAlign w:val="center"/>
            <w:hideMark/>
          </w:tcPr>
          <w:p w14:paraId="0A79EFFA" w14:textId="77777777" w:rsidR="00771545" w:rsidRPr="00F4771B" w:rsidRDefault="00771545" w:rsidP="009C01F7">
            <w:pPr>
              <w:tabs>
                <w:tab w:val="left" w:pos="3045"/>
              </w:tabs>
              <w:jc w:val="center"/>
              <w:rPr>
                <w:rFonts w:ascii="Aptos Display" w:hAnsi="Aptos Display"/>
                <w:b/>
                <w:bCs/>
                <w:color w:val="FFFFFF" w:themeColor="background1"/>
                <w:sz w:val="20"/>
                <w:szCs w:val="20"/>
              </w:rPr>
            </w:pPr>
            <w:r w:rsidRPr="00F4771B">
              <w:rPr>
                <w:rFonts w:ascii="Aptos Display" w:hAnsi="Aptos Display"/>
                <w:b/>
                <w:bCs/>
                <w:color w:val="FFFFFF" w:themeColor="background1"/>
                <w:sz w:val="20"/>
                <w:szCs w:val="20"/>
              </w:rPr>
              <w:t>50-69 ans</w:t>
            </w:r>
          </w:p>
        </w:tc>
      </w:tr>
      <w:tr w:rsidR="00771545" w:rsidRPr="00F4771B" w14:paraId="424506DB" w14:textId="77777777" w:rsidTr="00771545">
        <w:trPr>
          <w:cantSplit/>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2D1E5"/>
            <w:tcMar>
              <w:top w:w="72" w:type="dxa"/>
              <w:left w:w="144" w:type="dxa"/>
              <w:bottom w:w="72" w:type="dxa"/>
              <w:right w:w="144" w:type="dxa"/>
            </w:tcMar>
            <w:vAlign w:val="center"/>
            <w:hideMark/>
          </w:tcPr>
          <w:p w14:paraId="6B8567CF" w14:textId="77777777" w:rsidR="00771545" w:rsidRPr="00F4771B" w:rsidRDefault="00771545" w:rsidP="009C01F7">
            <w:pPr>
              <w:tabs>
                <w:tab w:val="left" w:pos="3045"/>
              </w:tabs>
              <w:jc w:val="both"/>
              <w:rPr>
                <w:rFonts w:ascii="Aptos Display" w:hAnsi="Aptos Display"/>
                <w:color w:val="7030A0"/>
                <w:sz w:val="20"/>
                <w:szCs w:val="20"/>
              </w:rPr>
            </w:pPr>
            <w:r w:rsidRPr="00F4771B">
              <w:rPr>
                <w:rFonts w:ascii="Aptos Display" w:hAnsi="Aptos Display"/>
                <w:color w:val="7030A0"/>
                <w:sz w:val="20"/>
                <w:szCs w:val="20"/>
              </w:rPr>
              <w:t>Risque bas/modéré</w:t>
            </w:r>
          </w:p>
        </w:tc>
        <w:tc>
          <w:tcPr>
            <w:tcW w:w="2094" w:type="dxa"/>
            <w:tcBorders>
              <w:top w:val="single" w:sz="24" w:space="0" w:color="FFFFFF"/>
              <w:left w:val="single" w:sz="8" w:space="0" w:color="FFFFFF"/>
              <w:bottom w:val="single" w:sz="8" w:space="0" w:color="FFFFFF"/>
              <w:right w:val="single" w:sz="8" w:space="0" w:color="FFFFFF"/>
            </w:tcBorders>
            <w:shd w:val="clear" w:color="auto" w:fill="D2D1E5"/>
            <w:tcMar>
              <w:top w:w="72" w:type="dxa"/>
              <w:left w:w="144" w:type="dxa"/>
              <w:bottom w:w="72" w:type="dxa"/>
              <w:right w:w="144" w:type="dxa"/>
            </w:tcMar>
            <w:vAlign w:val="center"/>
            <w:hideMark/>
          </w:tcPr>
          <w:p w14:paraId="77EC6D40" w14:textId="77777777" w:rsidR="00771545" w:rsidRPr="00F4771B" w:rsidRDefault="00771545" w:rsidP="009C01F7">
            <w:pPr>
              <w:tabs>
                <w:tab w:val="left" w:pos="3045"/>
              </w:tabs>
              <w:jc w:val="center"/>
              <w:rPr>
                <w:rFonts w:ascii="Aptos Display" w:hAnsi="Aptos Display"/>
                <w:color w:val="7030A0"/>
                <w:sz w:val="20"/>
                <w:szCs w:val="20"/>
              </w:rPr>
            </w:pPr>
            <w:r w:rsidRPr="00F4771B">
              <w:rPr>
                <w:rFonts w:ascii="Aptos Display" w:hAnsi="Aptos Display"/>
                <w:color w:val="7030A0"/>
                <w:sz w:val="20"/>
                <w:szCs w:val="20"/>
              </w:rPr>
              <w:t>&lt; 2.5%</w:t>
            </w:r>
          </w:p>
        </w:tc>
        <w:tc>
          <w:tcPr>
            <w:tcW w:w="1985" w:type="dxa"/>
            <w:tcBorders>
              <w:top w:val="single" w:sz="24" w:space="0" w:color="FFFFFF"/>
              <w:left w:val="single" w:sz="8" w:space="0" w:color="FFFFFF"/>
              <w:bottom w:val="single" w:sz="8" w:space="0" w:color="FFFFFF"/>
              <w:right w:val="single" w:sz="8" w:space="0" w:color="FFFFFF"/>
            </w:tcBorders>
            <w:shd w:val="clear" w:color="auto" w:fill="D2D1E5"/>
            <w:tcMar>
              <w:top w:w="72" w:type="dxa"/>
              <w:left w:w="144" w:type="dxa"/>
              <w:bottom w:w="72" w:type="dxa"/>
              <w:right w:w="144" w:type="dxa"/>
            </w:tcMar>
            <w:vAlign w:val="center"/>
            <w:hideMark/>
          </w:tcPr>
          <w:p w14:paraId="44283699" w14:textId="77777777" w:rsidR="00771545" w:rsidRPr="00F4771B" w:rsidRDefault="00771545" w:rsidP="009C01F7">
            <w:pPr>
              <w:tabs>
                <w:tab w:val="left" w:pos="3045"/>
              </w:tabs>
              <w:jc w:val="center"/>
              <w:rPr>
                <w:rFonts w:ascii="Aptos Display" w:hAnsi="Aptos Display"/>
                <w:color w:val="7030A0"/>
                <w:sz w:val="20"/>
                <w:szCs w:val="20"/>
              </w:rPr>
            </w:pPr>
            <w:r w:rsidRPr="00F4771B">
              <w:rPr>
                <w:rFonts w:ascii="Aptos Display" w:hAnsi="Aptos Display"/>
                <w:color w:val="7030A0"/>
                <w:sz w:val="20"/>
                <w:szCs w:val="20"/>
              </w:rPr>
              <w:t>&lt; 5%</w:t>
            </w:r>
          </w:p>
        </w:tc>
      </w:tr>
      <w:tr w:rsidR="00771545" w:rsidRPr="00F4771B" w14:paraId="08D6EA8E" w14:textId="77777777" w:rsidTr="00771545">
        <w:trPr>
          <w:cantSplit/>
          <w:jc w:val="center"/>
        </w:trPr>
        <w:tc>
          <w:tcPr>
            <w:tcW w:w="0" w:type="auto"/>
            <w:tcBorders>
              <w:top w:val="single" w:sz="8" w:space="0" w:color="FFFFFF"/>
              <w:left w:val="single" w:sz="8" w:space="0" w:color="FFFFFF"/>
              <w:bottom w:val="single" w:sz="8" w:space="0" w:color="FFFFFF"/>
              <w:right w:val="single" w:sz="8" w:space="0" w:color="FFFFFF"/>
            </w:tcBorders>
            <w:shd w:val="clear" w:color="auto" w:fill="EAE9F2"/>
            <w:tcMar>
              <w:top w:w="72" w:type="dxa"/>
              <w:left w:w="144" w:type="dxa"/>
              <w:bottom w:w="72" w:type="dxa"/>
              <w:right w:w="144" w:type="dxa"/>
            </w:tcMar>
            <w:vAlign w:val="center"/>
            <w:hideMark/>
          </w:tcPr>
          <w:p w14:paraId="6D24E861" w14:textId="77777777" w:rsidR="00771545" w:rsidRPr="00F4771B" w:rsidRDefault="00771545" w:rsidP="009C01F7">
            <w:pPr>
              <w:tabs>
                <w:tab w:val="left" w:pos="3045"/>
              </w:tabs>
              <w:jc w:val="both"/>
              <w:rPr>
                <w:rFonts w:ascii="Aptos Display" w:hAnsi="Aptos Display"/>
                <w:color w:val="7030A0"/>
                <w:sz w:val="20"/>
                <w:szCs w:val="20"/>
              </w:rPr>
            </w:pPr>
            <w:r w:rsidRPr="00F4771B">
              <w:rPr>
                <w:rFonts w:ascii="Aptos Display" w:hAnsi="Aptos Display"/>
                <w:color w:val="7030A0"/>
                <w:sz w:val="20"/>
                <w:szCs w:val="20"/>
              </w:rPr>
              <w:t>Haut risque</w:t>
            </w:r>
          </w:p>
        </w:tc>
        <w:tc>
          <w:tcPr>
            <w:tcW w:w="2094" w:type="dxa"/>
            <w:tcBorders>
              <w:top w:val="single" w:sz="8" w:space="0" w:color="FFFFFF"/>
              <w:left w:val="single" w:sz="8" w:space="0" w:color="FFFFFF"/>
              <w:bottom w:val="single" w:sz="8" w:space="0" w:color="FFFFFF"/>
              <w:right w:val="single" w:sz="8" w:space="0" w:color="FFFFFF"/>
            </w:tcBorders>
            <w:shd w:val="clear" w:color="auto" w:fill="EAE9F2"/>
            <w:tcMar>
              <w:top w:w="72" w:type="dxa"/>
              <w:left w:w="144" w:type="dxa"/>
              <w:bottom w:w="72" w:type="dxa"/>
              <w:right w:w="144" w:type="dxa"/>
            </w:tcMar>
            <w:vAlign w:val="center"/>
            <w:hideMark/>
          </w:tcPr>
          <w:p w14:paraId="3BF3D5DD" w14:textId="77777777" w:rsidR="00771545" w:rsidRPr="00F4771B" w:rsidRDefault="00771545" w:rsidP="009C01F7">
            <w:pPr>
              <w:tabs>
                <w:tab w:val="left" w:pos="3045"/>
              </w:tabs>
              <w:jc w:val="center"/>
              <w:rPr>
                <w:rFonts w:ascii="Aptos Display" w:hAnsi="Aptos Display"/>
                <w:color w:val="7030A0"/>
                <w:sz w:val="20"/>
                <w:szCs w:val="20"/>
              </w:rPr>
            </w:pPr>
            <w:r w:rsidRPr="00F4771B">
              <w:rPr>
                <w:rFonts w:ascii="Aptos Display" w:hAnsi="Aptos Display"/>
                <w:color w:val="7030A0"/>
                <w:sz w:val="20"/>
                <w:szCs w:val="20"/>
              </w:rPr>
              <w:t>2,5 à 7,5%</w:t>
            </w:r>
          </w:p>
        </w:tc>
        <w:tc>
          <w:tcPr>
            <w:tcW w:w="1985" w:type="dxa"/>
            <w:tcBorders>
              <w:top w:val="single" w:sz="8" w:space="0" w:color="FFFFFF"/>
              <w:left w:val="single" w:sz="8" w:space="0" w:color="FFFFFF"/>
              <w:bottom w:val="single" w:sz="8" w:space="0" w:color="FFFFFF"/>
              <w:right w:val="single" w:sz="8" w:space="0" w:color="FFFFFF"/>
            </w:tcBorders>
            <w:shd w:val="clear" w:color="auto" w:fill="EAE9F2"/>
            <w:tcMar>
              <w:top w:w="72" w:type="dxa"/>
              <w:left w:w="144" w:type="dxa"/>
              <w:bottom w:w="72" w:type="dxa"/>
              <w:right w:w="144" w:type="dxa"/>
            </w:tcMar>
            <w:vAlign w:val="center"/>
            <w:hideMark/>
          </w:tcPr>
          <w:p w14:paraId="1460463F" w14:textId="77777777" w:rsidR="00771545" w:rsidRPr="00F4771B" w:rsidRDefault="00771545" w:rsidP="009C01F7">
            <w:pPr>
              <w:tabs>
                <w:tab w:val="left" w:pos="3045"/>
              </w:tabs>
              <w:jc w:val="center"/>
              <w:rPr>
                <w:rFonts w:ascii="Aptos Display" w:hAnsi="Aptos Display"/>
                <w:color w:val="7030A0"/>
                <w:sz w:val="20"/>
                <w:szCs w:val="20"/>
              </w:rPr>
            </w:pPr>
            <w:r w:rsidRPr="00F4771B">
              <w:rPr>
                <w:rFonts w:ascii="Aptos Display" w:hAnsi="Aptos Display"/>
                <w:color w:val="7030A0"/>
                <w:sz w:val="20"/>
                <w:szCs w:val="20"/>
              </w:rPr>
              <w:t>5 à 10%</w:t>
            </w:r>
          </w:p>
        </w:tc>
      </w:tr>
      <w:tr w:rsidR="00771545" w:rsidRPr="00F4771B" w14:paraId="0DEA247D" w14:textId="77777777" w:rsidTr="00771545">
        <w:trPr>
          <w:cantSplit/>
          <w:jc w:val="center"/>
        </w:trPr>
        <w:tc>
          <w:tcPr>
            <w:tcW w:w="0" w:type="auto"/>
            <w:tcBorders>
              <w:top w:val="single" w:sz="8" w:space="0" w:color="FFFFFF"/>
              <w:left w:val="single" w:sz="8" w:space="0" w:color="FFFFFF"/>
              <w:bottom w:val="single" w:sz="8" w:space="0" w:color="FFFFFF"/>
              <w:right w:val="single" w:sz="8" w:space="0" w:color="FFFFFF"/>
            </w:tcBorders>
            <w:shd w:val="clear" w:color="auto" w:fill="D2D1E5"/>
            <w:tcMar>
              <w:top w:w="72" w:type="dxa"/>
              <w:left w:w="144" w:type="dxa"/>
              <w:bottom w:w="72" w:type="dxa"/>
              <w:right w:w="144" w:type="dxa"/>
            </w:tcMar>
            <w:vAlign w:val="center"/>
            <w:hideMark/>
          </w:tcPr>
          <w:p w14:paraId="37F10621" w14:textId="77777777" w:rsidR="00771545" w:rsidRPr="00F4771B" w:rsidRDefault="00771545" w:rsidP="009C01F7">
            <w:pPr>
              <w:tabs>
                <w:tab w:val="left" w:pos="3045"/>
              </w:tabs>
              <w:jc w:val="both"/>
              <w:rPr>
                <w:rFonts w:ascii="Aptos Display" w:hAnsi="Aptos Display"/>
                <w:color w:val="7030A0"/>
                <w:sz w:val="20"/>
                <w:szCs w:val="20"/>
              </w:rPr>
            </w:pPr>
            <w:r w:rsidRPr="00F4771B">
              <w:rPr>
                <w:rFonts w:ascii="Aptos Display" w:hAnsi="Aptos Display"/>
                <w:color w:val="7030A0"/>
                <w:sz w:val="20"/>
                <w:szCs w:val="20"/>
              </w:rPr>
              <w:t>Très haut risque</w:t>
            </w:r>
          </w:p>
        </w:tc>
        <w:tc>
          <w:tcPr>
            <w:tcW w:w="2094" w:type="dxa"/>
            <w:tcBorders>
              <w:top w:val="single" w:sz="8" w:space="0" w:color="FFFFFF"/>
              <w:left w:val="single" w:sz="8" w:space="0" w:color="FFFFFF"/>
              <w:bottom w:val="single" w:sz="8" w:space="0" w:color="FFFFFF"/>
              <w:right w:val="single" w:sz="8" w:space="0" w:color="FFFFFF"/>
            </w:tcBorders>
            <w:shd w:val="clear" w:color="auto" w:fill="D2D1E5"/>
            <w:tcMar>
              <w:top w:w="72" w:type="dxa"/>
              <w:left w:w="144" w:type="dxa"/>
              <w:bottom w:w="72" w:type="dxa"/>
              <w:right w:w="144" w:type="dxa"/>
            </w:tcMar>
            <w:vAlign w:val="center"/>
            <w:hideMark/>
          </w:tcPr>
          <w:p w14:paraId="3484F0D6" w14:textId="77777777" w:rsidR="00771545" w:rsidRPr="00F4771B" w:rsidRDefault="00771545" w:rsidP="009C01F7">
            <w:pPr>
              <w:tabs>
                <w:tab w:val="left" w:pos="3045"/>
              </w:tabs>
              <w:jc w:val="center"/>
              <w:rPr>
                <w:rFonts w:ascii="Aptos Display" w:hAnsi="Aptos Display"/>
                <w:color w:val="7030A0"/>
                <w:sz w:val="20"/>
                <w:szCs w:val="20"/>
              </w:rPr>
            </w:pPr>
            <w:r w:rsidRPr="00F4771B">
              <w:rPr>
                <w:rFonts w:ascii="Aptos Display" w:hAnsi="Aptos Display"/>
                <w:color w:val="7030A0"/>
                <w:sz w:val="20"/>
                <w:szCs w:val="20"/>
              </w:rPr>
              <w:t>Supérieur à 7,5%</w:t>
            </w:r>
          </w:p>
        </w:tc>
        <w:tc>
          <w:tcPr>
            <w:tcW w:w="1985" w:type="dxa"/>
            <w:tcBorders>
              <w:top w:val="single" w:sz="8" w:space="0" w:color="FFFFFF"/>
              <w:left w:val="single" w:sz="8" w:space="0" w:color="FFFFFF"/>
              <w:bottom w:val="single" w:sz="8" w:space="0" w:color="FFFFFF"/>
              <w:right w:val="single" w:sz="8" w:space="0" w:color="FFFFFF"/>
            </w:tcBorders>
            <w:shd w:val="clear" w:color="auto" w:fill="D2D1E5"/>
            <w:tcMar>
              <w:top w:w="72" w:type="dxa"/>
              <w:left w:w="144" w:type="dxa"/>
              <w:bottom w:w="72" w:type="dxa"/>
              <w:right w:w="144" w:type="dxa"/>
            </w:tcMar>
            <w:vAlign w:val="center"/>
            <w:hideMark/>
          </w:tcPr>
          <w:p w14:paraId="6B181B34" w14:textId="77777777" w:rsidR="00771545" w:rsidRPr="00F4771B" w:rsidRDefault="00771545" w:rsidP="009C01F7">
            <w:pPr>
              <w:tabs>
                <w:tab w:val="left" w:pos="3045"/>
              </w:tabs>
              <w:jc w:val="center"/>
              <w:rPr>
                <w:rFonts w:ascii="Aptos Display" w:hAnsi="Aptos Display"/>
                <w:color w:val="7030A0"/>
                <w:sz w:val="20"/>
                <w:szCs w:val="20"/>
              </w:rPr>
            </w:pPr>
            <w:r w:rsidRPr="00F4771B">
              <w:rPr>
                <w:rFonts w:ascii="Aptos Display" w:hAnsi="Aptos Display"/>
                <w:color w:val="7030A0"/>
                <w:sz w:val="20"/>
                <w:szCs w:val="20"/>
              </w:rPr>
              <w:t>Supérieur à 10%</w:t>
            </w:r>
          </w:p>
        </w:tc>
      </w:tr>
    </w:tbl>
    <w:p w14:paraId="3F9CCD56" w14:textId="77777777" w:rsidR="005E5387" w:rsidRDefault="005E5387" w:rsidP="00FA2C3F"/>
    <w:p w14:paraId="5568A1E3" w14:textId="0104235F" w:rsidR="002E6B1B" w:rsidRDefault="002E6B1B" w:rsidP="00FA2C3F">
      <w:r>
        <w:t>Commentaire fixe de fin de bilan</w:t>
      </w:r>
      <w:r w:rsidR="00FA2C3F">
        <w:t> :</w:t>
      </w:r>
    </w:p>
    <w:p w14:paraId="647C2C30" w14:textId="28466265" w:rsidR="00867949" w:rsidRDefault="00867949" w:rsidP="00FA2C3F">
      <w:pPr>
        <w:spacing w:after="0" w:line="240" w:lineRule="auto"/>
        <w:jc w:val="both"/>
        <w:rPr>
          <w:i/>
          <w:iCs/>
        </w:rPr>
      </w:pPr>
      <w:r w:rsidRPr="00867949">
        <w:rPr>
          <w:i/>
          <w:iCs/>
          <w:highlight w:val="yellow"/>
        </w:rPr>
        <w:t xml:space="preserve">Le calcul du SCORE2 est effectué ponctuellement dans le cadre d’une opération de prévention cardiovasculaire organisée conjointement par votre laboratoire et </w:t>
      </w:r>
      <w:r w:rsidRPr="00B55C85">
        <w:rPr>
          <w:i/>
          <w:iCs/>
          <w:highlight w:val="yellow"/>
        </w:rPr>
        <w:t xml:space="preserve">l’URPS </w:t>
      </w:r>
      <w:r w:rsidR="00B55C85" w:rsidRPr="00B55C85">
        <w:rPr>
          <w:i/>
          <w:iCs/>
          <w:highlight w:val="yellow"/>
        </w:rPr>
        <w:t>HDF</w:t>
      </w:r>
    </w:p>
    <w:p w14:paraId="04A1D1F0" w14:textId="576BFAAA" w:rsidR="00FA2C3F" w:rsidRDefault="00894B16" w:rsidP="00FA2C3F">
      <w:pPr>
        <w:spacing w:after="0" w:line="240" w:lineRule="auto"/>
        <w:jc w:val="both"/>
        <w:rPr>
          <w:i/>
          <w:iCs/>
        </w:rPr>
      </w:pPr>
      <w:r w:rsidRPr="00FA2C3F">
        <w:rPr>
          <w:i/>
          <w:iCs/>
        </w:rPr>
        <w:t>Le SCORE2 évalue la prédiction du risque cardiovasculaire</w:t>
      </w:r>
      <w:r w:rsidR="00FA2C3F" w:rsidRPr="00FA2C3F">
        <w:rPr>
          <w:i/>
          <w:iCs/>
        </w:rPr>
        <w:t xml:space="preserve"> selon les modalités et en accord avec</w:t>
      </w:r>
      <w:r w:rsidRPr="00FA2C3F">
        <w:rPr>
          <w:i/>
          <w:iCs/>
        </w:rPr>
        <w:t xml:space="preserve"> les</w:t>
      </w:r>
      <w:r w:rsidR="00FA2C3F" w:rsidRPr="00FA2C3F">
        <w:rPr>
          <w:i/>
          <w:iCs/>
        </w:rPr>
        <w:t xml:space="preserve"> </w:t>
      </w:r>
      <w:r w:rsidRPr="00FA2C3F">
        <w:rPr>
          <w:i/>
          <w:iCs/>
        </w:rPr>
        <w:t xml:space="preserve">recommandations formulées par </w:t>
      </w:r>
      <w:r w:rsidR="00FA2C3F" w:rsidRPr="00FA2C3F">
        <w:rPr>
          <w:i/>
          <w:iCs/>
        </w:rPr>
        <w:t xml:space="preserve">la société Européenne de Cardiologie en 2021. Il vise à adapter la prise en charge en matière de prévention selon la catégorie de risque par le médecin référent. </w:t>
      </w:r>
    </w:p>
    <w:p w14:paraId="518CB60A" w14:textId="3E9B7ACE" w:rsidR="00894B16" w:rsidRDefault="00FA2C3F" w:rsidP="00FA2C3F">
      <w:pPr>
        <w:spacing w:after="0" w:line="240" w:lineRule="auto"/>
        <w:jc w:val="both"/>
        <w:rPr>
          <w:i/>
          <w:iCs/>
        </w:rPr>
      </w:pPr>
      <w:r w:rsidRPr="00FA2C3F">
        <w:rPr>
          <w:i/>
          <w:iCs/>
        </w:rPr>
        <w:t xml:space="preserve">Les conseils de prévention cardiovasculaire sont applicables à tous (arrêt du tabagisme, recommandations sur le mode de vie, sédentarité, et baisse de la pression artérielle systolique). La décision d’un éventuel traitement </w:t>
      </w:r>
      <w:r>
        <w:rPr>
          <w:i/>
          <w:iCs/>
        </w:rPr>
        <w:t xml:space="preserve">médicamenteux </w:t>
      </w:r>
      <w:r w:rsidRPr="00FA2C3F">
        <w:rPr>
          <w:i/>
          <w:iCs/>
        </w:rPr>
        <w:t>est à discuter avec le médecin référent selon le niveau de risque, les antécédents personnels et familiaux et le contexte clinique.</w:t>
      </w:r>
    </w:p>
    <w:p w14:paraId="5551F48C" w14:textId="7B9EE04C" w:rsidR="00785543" w:rsidRPr="00FA2C3F" w:rsidRDefault="00785543" w:rsidP="00785543">
      <w:pPr>
        <w:spacing w:after="0" w:line="240" w:lineRule="auto"/>
        <w:jc w:val="both"/>
        <w:rPr>
          <w:i/>
          <w:iCs/>
        </w:rPr>
      </w:pPr>
      <w:r w:rsidRPr="00785543">
        <w:rPr>
          <w:i/>
          <w:iCs/>
          <w:highlight w:val="yellow"/>
        </w:rPr>
        <w:t>En cas d’hypertension constatée au laboratoire, en raison d’une possible surestimation liée à l’effet « blouse blanche », il est recommandé de contrôler la pression artérielle selon les conseils du médecin traitant par automesure. Dans ce cas, le risque estimé SCORE2 peut être surévalué en raison de la pression artérielle mesurée</w:t>
      </w:r>
      <w:r w:rsidRPr="00785543">
        <w:rPr>
          <w:i/>
          <w:iCs/>
        </w:rPr>
        <w:t>.</w:t>
      </w:r>
    </w:p>
    <w:p w14:paraId="227EAC90" w14:textId="77777777" w:rsidR="002E6B1B" w:rsidRDefault="002E6B1B"/>
    <w:p w14:paraId="076FE1DB" w14:textId="3331F8FA" w:rsidR="002E6B1B" w:rsidRDefault="002E6B1B"/>
    <w:p w14:paraId="0E8A9C25" w14:textId="4D33A854" w:rsidR="00FA2C3F" w:rsidRPr="003F432D" w:rsidRDefault="00FA2C3F" w:rsidP="008C32C1">
      <w:pPr>
        <w:pStyle w:val="Titre2"/>
        <w:rPr>
          <w:b/>
          <w:bCs/>
          <w:sz w:val="28"/>
          <w:szCs w:val="28"/>
        </w:rPr>
      </w:pPr>
      <w:r w:rsidRPr="003F432D">
        <w:rPr>
          <w:b/>
          <w:bCs/>
          <w:sz w:val="32"/>
          <w:szCs w:val="32"/>
        </w:rPr>
        <w:t>Modalité de recueil des informations cliniques et encodage dans le SGL</w:t>
      </w:r>
    </w:p>
    <w:p w14:paraId="04D41530" w14:textId="441358CC" w:rsidR="00D037D5" w:rsidRDefault="00D037D5" w:rsidP="00D037D5">
      <w:pPr>
        <w:pStyle w:val="Titre2"/>
      </w:pPr>
      <w:r>
        <w:t>Recueil du consentement</w:t>
      </w:r>
    </w:p>
    <w:p w14:paraId="4D690550" w14:textId="26F749C3" w:rsidR="00D037D5" w:rsidRPr="00D037D5" w:rsidRDefault="00D037D5" w:rsidP="00C7324E">
      <w:pPr>
        <w:jc w:val="both"/>
      </w:pPr>
      <w:r>
        <w:t xml:space="preserve">Faire signer et archiver dans </w:t>
      </w:r>
      <w:r w:rsidR="00B55C85">
        <w:t xml:space="preserve">Le SIL </w:t>
      </w:r>
      <w:r>
        <w:t>le document de consentement</w:t>
      </w:r>
    </w:p>
    <w:p w14:paraId="55B9A842" w14:textId="5392522C" w:rsidR="00FA2C3F" w:rsidRDefault="00FA2C3F" w:rsidP="00C7324E">
      <w:pPr>
        <w:pStyle w:val="Titre2"/>
        <w:jc w:val="both"/>
      </w:pPr>
      <w:r>
        <w:t>Statut tabagique</w:t>
      </w:r>
    </w:p>
    <w:p w14:paraId="2615C356" w14:textId="65792273" w:rsidR="00FA2C3F" w:rsidRDefault="008C32C1" w:rsidP="00C7324E">
      <w:pPr>
        <w:jc w:val="both"/>
      </w:pPr>
      <w:r>
        <w:t>Ce statut ne concerne que la consommation de tabac (cigarette, pipe, cigare), et non la cigarette électronique</w:t>
      </w:r>
      <w:r w:rsidR="003721C0">
        <w:t xml:space="preserve"> (voir fiche </w:t>
      </w:r>
      <w:r w:rsidR="009A26EF">
        <w:t>préleveur</w:t>
      </w:r>
      <w:r w:rsidR="003721C0">
        <w:t>)</w:t>
      </w:r>
    </w:p>
    <w:p w14:paraId="7EE944BA" w14:textId="4ABA8713" w:rsidR="008C32C1" w:rsidRDefault="008C32C1" w:rsidP="00C7324E">
      <w:pPr>
        <w:pStyle w:val="Titre2"/>
        <w:jc w:val="both"/>
      </w:pPr>
      <w:r>
        <w:t>Pression artérielle systolique</w:t>
      </w:r>
    </w:p>
    <w:p w14:paraId="24CB0D52" w14:textId="1D0156C1" w:rsidR="00D037D5" w:rsidRDefault="00D037D5" w:rsidP="00C7324E">
      <w:pPr>
        <w:jc w:val="both"/>
      </w:pPr>
      <w:r>
        <w:t>Elle doit être prise après le prélèvement sanguin,</w:t>
      </w:r>
      <w:r w:rsidR="00B55C85">
        <w:t xml:space="preserve"> en position assise après quelques minutes de repos</w:t>
      </w:r>
      <w:r>
        <w:t xml:space="preserve"> afin de minimiser l’effet blouse blanche et que le stress d’appréhension de la piqure soit passé.</w:t>
      </w:r>
    </w:p>
    <w:sectPr w:rsidR="00D037D5" w:rsidSect="009A26EF">
      <w:headerReference w:type="even" r:id="rId7"/>
      <w:headerReference w:type="default" r:id="rId8"/>
      <w:footerReference w:type="even" r:id="rId9"/>
      <w:footerReference w:type="default" r:id="rId10"/>
      <w:headerReference w:type="first" r:id="rId11"/>
      <w:footerReference w:type="first" r:id="rId12"/>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EC0A4" w14:textId="77777777" w:rsidR="00C751F2" w:rsidRDefault="00C751F2" w:rsidP="003C4B55">
      <w:pPr>
        <w:spacing w:after="0" w:line="240" w:lineRule="auto"/>
      </w:pPr>
      <w:r>
        <w:separator/>
      </w:r>
    </w:p>
  </w:endnote>
  <w:endnote w:type="continuationSeparator" w:id="0">
    <w:p w14:paraId="6DF24E71" w14:textId="77777777" w:rsidR="00C751F2" w:rsidRDefault="00C751F2" w:rsidP="003C4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BE841" w14:textId="77777777" w:rsidR="00DB2D1C" w:rsidRDefault="00DB2D1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4083245"/>
      <w:docPartObj>
        <w:docPartGallery w:val="Page Numbers (Bottom of Page)"/>
        <w:docPartUnique/>
      </w:docPartObj>
    </w:sdtPr>
    <w:sdtContent>
      <w:p w14:paraId="6C067A23" w14:textId="25DBCEAA" w:rsidR="00DB2D1C" w:rsidRDefault="00DB2D1C">
        <w:pPr>
          <w:pStyle w:val="Pieddepage"/>
          <w:jc w:val="right"/>
        </w:pPr>
        <w:r>
          <w:fldChar w:fldCharType="begin"/>
        </w:r>
        <w:r>
          <w:instrText>PAGE   \* MERGEFORMAT</w:instrText>
        </w:r>
        <w:r>
          <w:fldChar w:fldCharType="separate"/>
        </w:r>
        <w:r>
          <w:t>2</w:t>
        </w:r>
        <w:r>
          <w:fldChar w:fldCharType="end"/>
        </w:r>
      </w:p>
    </w:sdtContent>
  </w:sdt>
  <w:p w14:paraId="24A291F9" w14:textId="77777777" w:rsidR="00DB2D1C" w:rsidRDefault="00DB2D1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210A" w14:textId="77777777" w:rsidR="00DB2D1C" w:rsidRDefault="00DB2D1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9F763" w14:textId="77777777" w:rsidR="00C751F2" w:rsidRDefault="00C751F2" w:rsidP="003C4B55">
      <w:pPr>
        <w:spacing w:after="0" w:line="240" w:lineRule="auto"/>
      </w:pPr>
      <w:r>
        <w:separator/>
      </w:r>
    </w:p>
  </w:footnote>
  <w:footnote w:type="continuationSeparator" w:id="0">
    <w:p w14:paraId="743350B2" w14:textId="77777777" w:rsidR="00C751F2" w:rsidRDefault="00C751F2" w:rsidP="003C4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E3872" w14:textId="77777777" w:rsidR="00DB2D1C" w:rsidRDefault="00DB2D1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F4BCD" w14:textId="4A8E90EF" w:rsidR="003C4B55" w:rsidRDefault="00B14A8C">
    <w:pPr>
      <w:pStyle w:val="En-tte"/>
    </w:pPr>
    <w:r>
      <w:rPr>
        <w:noProof/>
      </w:rPr>
      <w:drawing>
        <wp:anchor distT="0" distB="0" distL="114300" distR="114300" simplePos="0" relativeHeight="251658240" behindDoc="1" locked="0" layoutInCell="1" allowOverlap="1" wp14:anchorId="5A5B0228" wp14:editId="1D1A7FDD">
          <wp:simplePos x="0" y="0"/>
          <wp:positionH relativeFrom="column">
            <wp:posOffset>-245745</wp:posOffset>
          </wp:positionH>
          <wp:positionV relativeFrom="paragraph">
            <wp:posOffset>-201930</wp:posOffset>
          </wp:positionV>
          <wp:extent cx="971550" cy="647665"/>
          <wp:effectExtent l="0" t="0" r="0" b="0"/>
          <wp:wrapNone/>
          <wp:docPr id="437850273" name="Image 1"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50273" name="Image 1" descr="Une image contenant texte, Police, Graphique, graphism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971550" cy="6476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36E48" w14:textId="77777777" w:rsidR="00DB2D1C" w:rsidRDefault="00DB2D1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969AC"/>
    <w:multiLevelType w:val="hybridMultilevel"/>
    <w:tmpl w:val="6EE6F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BA2F90"/>
    <w:multiLevelType w:val="hybridMultilevel"/>
    <w:tmpl w:val="A24E3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7C375A0"/>
    <w:multiLevelType w:val="hybridMultilevel"/>
    <w:tmpl w:val="AD8E8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A523B8"/>
    <w:multiLevelType w:val="hybridMultilevel"/>
    <w:tmpl w:val="2160C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72309687">
    <w:abstractNumId w:val="1"/>
  </w:num>
  <w:num w:numId="2" w16cid:durableId="132408777">
    <w:abstractNumId w:val="0"/>
  </w:num>
  <w:num w:numId="3" w16cid:durableId="785855574">
    <w:abstractNumId w:val="3"/>
  </w:num>
  <w:num w:numId="4" w16cid:durableId="20331424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B1B"/>
    <w:rsid w:val="0009552A"/>
    <w:rsid w:val="000E77F1"/>
    <w:rsid w:val="001462DD"/>
    <w:rsid w:val="001F60F1"/>
    <w:rsid w:val="0029204B"/>
    <w:rsid w:val="002A19A1"/>
    <w:rsid w:val="002B3473"/>
    <w:rsid w:val="002E6B1B"/>
    <w:rsid w:val="00351131"/>
    <w:rsid w:val="003721C0"/>
    <w:rsid w:val="003C4B55"/>
    <w:rsid w:val="003F432D"/>
    <w:rsid w:val="0047332F"/>
    <w:rsid w:val="004B1F0F"/>
    <w:rsid w:val="004E5DE4"/>
    <w:rsid w:val="005511F5"/>
    <w:rsid w:val="005E5387"/>
    <w:rsid w:val="00617695"/>
    <w:rsid w:val="00771545"/>
    <w:rsid w:val="00785543"/>
    <w:rsid w:val="007976B1"/>
    <w:rsid w:val="007B2C18"/>
    <w:rsid w:val="00867949"/>
    <w:rsid w:val="00894B16"/>
    <w:rsid w:val="008C32C1"/>
    <w:rsid w:val="00920C82"/>
    <w:rsid w:val="009A26EF"/>
    <w:rsid w:val="00A83FA6"/>
    <w:rsid w:val="00B14A8C"/>
    <w:rsid w:val="00B55C85"/>
    <w:rsid w:val="00C7324E"/>
    <w:rsid w:val="00C751F2"/>
    <w:rsid w:val="00C9050C"/>
    <w:rsid w:val="00D037D5"/>
    <w:rsid w:val="00DB2D1C"/>
    <w:rsid w:val="00FA2C3F"/>
    <w:rsid w:val="00FB6000"/>
    <w:rsid w:val="00FD0B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72050"/>
  <w15:chartTrackingRefBased/>
  <w15:docId w15:val="{CAD6A0B9-CDC7-48BA-8310-29F0D59C4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A2C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A2C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A2C3F"/>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FA2C3F"/>
    <w:pPr>
      <w:ind w:left="720"/>
      <w:contextualSpacing/>
    </w:pPr>
  </w:style>
  <w:style w:type="character" w:customStyle="1" w:styleId="Titre1Car">
    <w:name w:val="Titre 1 Car"/>
    <w:basedOn w:val="Policepardfaut"/>
    <w:link w:val="Titre1"/>
    <w:uiPriority w:val="9"/>
    <w:rsid w:val="00FA2C3F"/>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3C4B55"/>
    <w:pPr>
      <w:tabs>
        <w:tab w:val="center" w:pos="4536"/>
        <w:tab w:val="right" w:pos="9072"/>
      </w:tabs>
      <w:spacing w:after="0" w:line="240" w:lineRule="auto"/>
    </w:pPr>
  </w:style>
  <w:style w:type="character" w:customStyle="1" w:styleId="En-tteCar">
    <w:name w:val="En-tête Car"/>
    <w:basedOn w:val="Policepardfaut"/>
    <w:link w:val="En-tte"/>
    <w:uiPriority w:val="99"/>
    <w:rsid w:val="003C4B55"/>
  </w:style>
  <w:style w:type="paragraph" w:styleId="Pieddepage">
    <w:name w:val="footer"/>
    <w:basedOn w:val="Normal"/>
    <w:link w:val="PieddepageCar"/>
    <w:uiPriority w:val="99"/>
    <w:unhideWhenUsed/>
    <w:rsid w:val="003C4B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4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Pages>
  <Words>404</Words>
  <Characters>2222</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Sala</dc:creator>
  <cp:keywords/>
  <dc:description/>
  <cp:lastModifiedBy>Catherine Davoust</cp:lastModifiedBy>
  <cp:revision>6</cp:revision>
  <cp:lastPrinted>2026-03-03T15:29:00Z</cp:lastPrinted>
  <dcterms:created xsi:type="dcterms:W3CDTF">2026-03-03T15:28:00Z</dcterms:created>
  <dcterms:modified xsi:type="dcterms:W3CDTF">2026-03-03T17:14:00Z</dcterms:modified>
</cp:coreProperties>
</file>